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7.png" ContentType="image/png"/>
  <Override PartName="/word/media/image5.png" ContentType="image/png"/>
  <Override PartName="/word/media/image4.png" ContentType="image/png"/>
  <Override PartName="/word/media/image2.png" ContentType="image/png"/>
  <Override PartName="/word/media/image3.png" ContentType="image/png"/>
  <Override PartName="/word/media/image6.png" ContentType="image/png"/>
  <Override PartName="/word/media/image1.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arbedor T" w:hAnsi="Barbedor T"/>
          <w:b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/>
        <w:drawing>
          <wp:inline distT="0" distB="0" distL="0" distR="0">
            <wp:extent cx="6478905" cy="9303385"/>
            <wp:effectExtent l="0" t="0" r="0" b="0"/>
            <wp:docPr id="1" name="Grafik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05" cy="930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tabs>
          <w:tab w:val="center" w:pos="5103" w:leader="none"/>
          <w:tab w:val="right" w:pos="10204" w:leader="none"/>
        </w:tabs>
        <w:ind w:left="132" w:hanging="0"/>
        <w:jc w:val="both"/>
        <w:rPr/>
      </w:pPr>
      <w:r>
        <w:drawing>
          <wp:anchor behindDoc="1" distT="0" distB="0" distL="114300" distR="114300" simplePos="0" locked="0" layoutInCell="1" allowOverlap="1" relativeHeight="4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480175" cy="252095"/>
            <wp:effectExtent l="0" t="0" r="0" b="0"/>
            <wp:wrapNone/>
            <wp:docPr id="2" name="Bild 12" descr="Hintergrund-Überschrif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2" descr="Hintergrund-Überschriften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arcassonne für iOS</w:t>
        <w:tab/>
        <w:tab/>
      </w:r>
    </w:p>
    <w:p>
      <w:pPr>
        <w:pStyle w:val="Normal"/>
        <w:rPr>
          <w:rFonts w:ascii="Barbedor T" w:hAnsi="Barbedor T"/>
          <w:color w:val="062742"/>
          <w:szCs w:val="20"/>
        </w:rPr>
      </w:pPr>
      <w:r>
        <w:rPr>
          <w:rFonts w:ascii="Barbedor T" w:hAnsi="Barbedor T"/>
          <w:color w:val="062742"/>
          <w:szCs w:val="20"/>
        </w:rPr>
      </w:r>
    </w:p>
    <w:tbl>
      <w:tblPr>
        <w:tblStyle w:val="Tabellenraster"/>
        <w:tblW w:w="10344" w:type="dxa"/>
        <w:jc w:val="left"/>
        <w:tblInd w:w="0" w:type="dxa"/>
        <w:tblCellMar>
          <w:top w:w="0" w:type="dxa"/>
          <w:left w:w="11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174"/>
        <w:gridCol w:w="5169"/>
      </w:tblGrid>
      <w:tr>
        <w:trPr/>
        <w:tc>
          <w:tcPr>
            <w:tcW w:w="51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center"/>
              <w:rPr>
                <w:rFonts w:ascii="Barbedor T" w:hAnsi="Barbedor T"/>
                <w:b/>
                <w:b/>
                <w:color w:val="C00000"/>
                <w:szCs w:val="20"/>
              </w:rPr>
            </w:pPr>
            <w:r>
              <w:rPr>
                <w:rFonts w:ascii="Barbedor T" w:hAnsi="Barbedor T"/>
                <w:b/>
                <w:color w:val="C00000"/>
                <w:szCs w:val="20"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147060" cy="1974215"/>
                  <wp:effectExtent l="0" t="0" r="0" b="0"/>
                  <wp:wrapSquare wrapText="largest"/>
                  <wp:docPr id="3" name="Bild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d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197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before="120" w:after="0"/>
              <w:jc w:val="center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Offizielles Carcassonne mit Original-Illustrationen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k</w:t>
            </w:r>
            <w:r>
              <w:rPr>
                <w:rFonts w:ascii="Barbedor T" w:hAnsi="Barbedor T"/>
              </w:rPr>
              <w:t xml:space="preserve">ompatibel mit der </w:t>
            </w:r>
            <w:r>
              <w:rPr>
                <w:rFonts w:ascii="Barbedor T" w:hAnsi="Barbedor T"/>
              </w:rPr>
              <w:t>mac</w:t>
            </w:r>
            <w:r>
              <w:rPr>
                <w:rFonts w:ascii="Barbedor T" w:hAnsi="Barbedor T"/>
              </w:rPr>
              <w:t xml:space="preserve">OS-Version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Exklusiver Solitär-Modus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Spielen lokal als auch übers Internet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Mehrere Spieler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Layout der Edition I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Grundspiel; wahlweise mit doppeltem Kartensatz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Fluss 1" und „Der Fluss 2“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"Wirtshäuser und Kathedralen"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"Händler und Baumeister"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"Burgfräulein und Drache"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"Das Phantom"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Abt"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"Deutsche Kathedralen"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"Winter" mit einem neuen Theme, neuen Landschaftskarten und dem Lebkuchenmann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Ein leichter Modus ohne Wiesen (ideal für Kinder)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9 unterschiedliche KI-Spieler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Game Center-Erfolge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Handbuch und Regelwerk zum Nachlesen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Spiel mit Game Center-Freunden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tbl>
            <w:tblPr>
              <w:tblStyle w:val="Tabellenraster"/>
              <w:tblW w:w="4941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VBand="1" w:noHBand="0" w:lastColumn="0" w:firstColumn="1" w:lastRow="0" w:firstRow="1"/>
            </w:tblPr>
            <w:tblGrid>
              <w:gridCol w:w="1701"/>
              <w:gridCol w:w="3239"/>
            </w:tblGrid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Aktuelle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Version: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  <w:color w:val="062742"/>
                      <w:szCs w:val="20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4.30</w:t>
                  </w:r>
                </w:p>
                <w:p>
                  <w:pPr>
                    <w:pStyle w:val="Normal"/>
                    <w:jc w:val="both"/>
                    <w:rPr>
                      <w:rFonts w:ascii="Barbedor T" w:hAnsi="Barbedor T"/>
                      <w:color w:val="062742"/>
                      <w:szCs w:val="20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2017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Herausgeber: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TheCodingMonkeys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bookmarkStart w:id="0" w:name="__DdeLink__161_883834292"/>
                  <w:r>
                    <w:rPr>
                      <w:rFonts w:ascii="Barbedor T" w:hAnsi="Barbedor T"/>
                      <w:color w:val="062742"/>
                      <w:szCs w:val="20"/>
                    </w:rPr>
                    <w:t>Verfügbar</w:t>
                  </w:r>
                  <w:bookmarkEnd w:id="0"/>
                  <w:r>
                    <w:rPr>
                      <w:rFonts w:ascii="Barbedor T" w:hAnsi="Barbedor T"/>
                      <w:color w:val="062742"/>
                      <w:szCs w:val="20"/>
                    </w:rPr>
                    <w:t>: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  <w:color w:val="062742"/>
                      <w:szCs w:val="20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App Store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Preise: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  <w:color w:val="062742"/>
                      <w:szCs w:val="20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bookmarkStart w:id="1" w:name="__DdeLink__233_594901437"/>
                  <w:bookmarkEnd w:id="1"/>
                  <w:r>
                    <w:rPr>
                      <w:rFonts w:ascii="Barbedor T" w:hAnsi="Barbedor T"/>
                      <w:color w:val="062742"/>
                      <w:szCs w:val="20"/>
                    </w:rPr>
                    <w:t>Grundspiel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10,99 €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Erweiterungen: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Wirtshäuser und Kathedralen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2,29 €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Der Fluss II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1,09 €</w:t>
                  </w:r>
                </w:p>
              </w:tc>
            </w:tr>
            <w:tr>
              <w:trPr/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Händler und Baumeister</w:t>
                  </w:r>
                </w:p>
              </w:tc>
              <w:tc>
                <w:tcPr>
                  <w:tcW w:w="323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both"/>
                    <w:rPr>
                      <w:rFonts w:ascii="Barbedor T" w:hAnsi="Barbedor T"/>
                    </w:rPr>
                  </w:pPr>
                  <w:r>
                    <w:rPr>
                      <w:rFonts w:ascii="Barbedor T" w:hAnsi="Barbedor T"/>
                    </w:rPr>
                    <w:t>2,29 €</w:t>
                  </w:r>
                </w:p>
              </w:tc>
            </w:tr>
          </w:tbl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sectPr>
      <w:headerReference w:type="even" r:id="rId5"/>
      <w:headerReference w:type="default" r:id="rId6"/>
      <w:footerReference w:type="even" r:id="rId7"/>
      <w:footerReference w:type="default" r:id="rId8"/>
      <w:type w:val="nextPage"/>
      <w:pgSz w:w="11906" w:h="16838"/>
      <w:pgMar w:left="851" w:right="851" w:header="397" w:top="851" w:footer="0" w:bottom="1134" w:gutter="0"/>
      <w:pgNumType w:start="21"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Barbedor T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uzeile"/>
      <w:tabs>
        <w:tab w:val="center" w:pos="4536" w:leader="none"/>
        <w:tab w:val="center" w:pos="5096" w:leader="none"/>
        <w:tab w:val="right" w:pos="9072" w:leader="none"/>
        <w:tab w:val="right" w:pos="10500" w:leader="none"/>
      </w:tabs>
      <w:ind w:right="-296" w:hanging="282"/>
      <w:rPr/>
    </w:pPr>
    <w:r>
      <w:rPr/>
      <w:fldChar w:fldCharType="begin"/>
    </w:r>
    <w:r>
      <w:instrText> PAGE </w:instrText>
    </w:r>
    <w:r>
      <w:fldChar w:fldCharType="separate"/>
    </w:r>
    <w:r>
      <w:t>22</w:t>
    </w:r>
    <w:r>
      <w:fldChar w:fldCharType="end"/>
    </w:r>
    <w:r>
      <w:rPr>
        <w:rFonts w:ascii="Barbedor T" w:hAnsi="Barbedor T"/>
        <w:sz w:val="24"/>
        <w:szCs w:val="24"/>
      </w:rPr>
      <w:t xml:space="preserve"> </w:t>
    </w:r>
    <w:r>
      <w:rPr>
        <w:rFonts w:ascii="Barbedor T" w:hAnsi="Barbedor T"/>
        <w:sz w:val="24"/>
        <w:szCs w:val="24"/>
      </w:rPr>
      <w:t xml:space="preserve">von </w:t>
    </w:r>
    <w:r>
      <w:rPr>
        <w:rFonts w:ascii="Barbedor T" w:hAnsi="Barbedor T"/>
        <w:sz w:val="24"/>
        <w:szCs w:val="24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  <w:r>
      <w:rPr>
        <w:rFonts w:ascii="Barbedor T" w:hAnsi="Barbedor T"/>
        <w:color w:val="062742"/>
        <w:sz w:val="24"/>
        <w:szCs w:val="24"/>
      </w:rPr>
      <w:tab/>
    </w:r>
    <w:r>
      <w:rPr>
        <w:rFonts w:ascii="Barbedor T" w:hAnsi="Barbedor T"/>
        <w:sz w:val="24"/>
        <w:szCs w:val="24"/>
      </w:rPr>
      <w:t>Die Carcassonne-Familie</w:t>
      <w:tab/>
    </w:r>
    <w:r>
      <w:rPr>
        <w:rFonts w:ascii="Barbedor T" w:hAnsi="Barbedor T"/>
        <w:sz w:val="24"/>
        <w:szCs w:val="24"/>
      </w:rPr>
      <w:drawing>
        <wp:inline distT="0" distB="0" distL="0" distR="0">
          <wp:extent cx="1193800" cy="222250"/>
          <wp:effectExtent l="0" t="0" r="0" b="0"/>
          <wp:docPr id="6" name="Bild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ild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222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Fuzeile"/>
      <w:rPr>
        <w:rFonts w:ascii="Barbedor T" w:hAnsi="Barbedor T"/>
        <w:szCs w:val="20"/>
      </w:rPr>
    </w:pPr>
    <w:r>
      <w:rPr>
        <w:rFonts w:ascii="Barbedor T" w:hAnsi="Barbedor T"/>
        <w:szCs w:val="20"/>
      </w:rPr>
    </w:r>
  </w:p>
  <w:p>
    <w:pPr>
      <w:pStyle w:val="Fuzeile"/>
      <w:rPr>
        <w:rFonts w:ascii="Barbedor T" w:hAnsi="Barbedor T"/>
        <w:szCs w:val="20"/>
      </w:rPr>
    </w:pPr>
    <w:r>
      <w:rPr>
        <w:rFonts w:ascii="Barbedor T" w:hAnsi="Barbedor T"/>
        <w:szCs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uzeile"/>
      <w:tabs>
        <w:tab w:val="center" w:pos="4536" w:leader="none"/>
        <w:tab w:val="center" w:pos="5096" w:leader="none"/>
        <w:tab w:val="right" w:pos="9072" w:leader="none"/>
        <w:tab w:val="right" w:pos="10528" w:leader="none"/>
      </w:tabs>
      <w:ind w:right="-324" w:hanging="280"/>
      <w:rPr/>
    </w:pPr>
    <w:r>
      <w:rPr/>
      <w:drawing>
        <wp:inline distT="0" distB="0" distL="0" distR="0">
          <wp:extent cx="1193800" cy="222250"/>
          <wp:effectExtent l="0" t="0" r="0" b="0"/>
          <wp:docPr id="7" name="Bild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ild 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222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Barbedor T" w:hAnsi="Barbedor T"/>
        <w:color w:val="062742"/>
        <w:sz w:val="24"/>
        <w:szCs w:val="24"/>
      </w:rPr>
      <w:tab/>
    </w:r>
    <w:r>
      <w:rPr>
        <w:rFonts w:ascii="Barbedor T" w:hAnsi="Barbedor T"/>
        <w:sz w:val="24"/>
        <w:szCs w:val="24"/>
      </w:rPr>
      <w:t>Die Carcassonne-Familie</w:t>
      <w:tab/>
    </w:r>
    <w:r>
      <w:rPr>
        <w:rFonts w:ascii="Barbedor T" w:hAnsi="Barbedor T"/>
        <w:sz w:val="24"/>
        <w:szCs w:val="24"/>
      </w:rPr>
      <w:fldChar w:fldCharType="begin"/>
    </w:r>
    <w:r>
      <w:instrText> PAGE </w:instrText>
    </w:r>
    <w:r>
      <w:fldChar w:fldCharType="separate"/>
    </w:r>
    <w:r>
      <w:t>21</w:t>
    </w:r>
    <w:r>
      <w:fldChar w:fldCharType="end"/>
    </w:r>
    <w:r>
      <w:rPr>
        <w:rFonts w:ascii="Barbedor T" w:hAnsi="Barbedor T"/>
        <w:sz w:val="24"/>
        <w:szCs w:val="24"/>
      </w:rPr>
      <w:t xml:space="preserve"> von </w:t>
    </w:r>
    <w:r>
      <w:rPr>
        <w:rFonts w:ascii="Barbedor T" w:hAnsi="Barbedor T"/>
        <w:sz w:val="24"/>
        <w:szCs w:val="24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Fuzeile"/>
      <w:ind w:right="-8" w:hanging="0"/>
      <w:rPr>
        <w:rFonts w:ascii="Barbedor T" w:hAnsi="Barbedor T"/>
      </w:rPr>
    </w:pPr>
    <w:r>
      <w:rPr>
        <w:rFonts w:ascii="Barbedor T" w:hAnsi="Barbedor T"/>
      </w:rPr>
    </w:r>
  </w:p>
  <w:p>
    <w:pPr>
      <w:pStyle w:val="Fuzeile"/>
      <w:ind w:right="-8" w:hanging="0"/>
      <w:rPr>
        <w:rFonts w:ascii="Barbedor T" w:hAnsi="Barbedor T"/>
      </w:rPr>
    </w:pPr>
    <w:r>
      <w:rPr>
        <w:rFonts w:ascii="Barbedor T" w:hAnsi="Barbedor T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ind w:right="-554" w:hanging="294"/>
      <w:rPr>
        <w:rFonts w:ascii="Barbedor T" w:hAnsi="Barbedor T"/>
      </w:rPr>
    </w:pPr>
    <w:r>
      <w:rPr>
        <w:rFonts w:ascii="Barbedor T" w:hAnsi="Barbedor T"/>
      </w:rPr>
      <w:drawing>
        <wp:anchor behindDoc="1" distT="18415" distB="14605" distL="133350" distR="131445" simplePos="0" locked="0" layoutInCell="1" allowOverlap="1" relativeHeight="3">
          <wp:simplePos x="0" y="0"/>
          <wp:positionH relativeFrom="column">
            <wp:posOffset>-180340</wp:posOffset>
          </wp:positionH>
          <wp:positionV relativeFrom="page">
            <wp:posOffset>360045</wp:posOffset>
          </wp:positionV>
          <wp:extent cx="6840220" cy="9719945"/>
          <wp:effectExtent l="0" t="0" r="0" b="0"/>
          <wp:wrapNone/>
          <wp:docPr id="4" name="Bild 3" descr="Hintergrund-Regelvorl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 3" descr="Hintergrund-Regelvorlag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9719945"/>
                  </a:xfrm>
                  <a:prstGeom prst="rect">
                    <a:avLst/>
                  </a:prstGeom>
                  <a:ln w="9525">
                    <a:solidFill>
                      <a:srgbClr val="062742"/>
                    </a:solidFill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ind w:right="-554" w:hanging="294"/>
      <w:rPr>
        <w:rFonts w:ascii="Barbedor T" w:hAnsi="Barbedor T"/>
      </w:rPr>
    </w:pPr>
    <w:r>
      <w:rPr>
        <w:rFonts w:ascii="Barbedor T" w:hAnsi="Barbedor T"/>
      </w:rPr>
      <w:drawing>
        <wp:anchor behindDoc="1" distT="18415" distB="14605" distL="133350" distR="131445" simplePos="0" locked="0" layoutInCell="1" allowOverlap="1" relativeHeight="2">
          <wp:simplePos x="0" y="0"/>
          <wp:positionH relativeFrom="column">
            <wp:posOffset>-180340</wp:posOffset>
          </wp:positionH>
          <wp:positionV relativeFrom="page">
            <wp:posOffset>360045</wp:posOffset>
          </wp:positionV>
          <wp:extent cx="6840220" cy="9719945"/>
          <wp:effectExtent l="0" t="0" r="0" b="0"/>
          <wp:wrapNone/>
          <wp:docPr id="5" name="Bild 2" descr="Hintergrund-Regelvorl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2" descr="Hintergrund-Regelvorlag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9719945"/>
                  </a:xfrm>
                  <a:prstGeom prst="rect">
                    <a:avLst/>
                  </a:prstGeom>
                  <a:ln w="9525">
                    <a:solidFill>
                      <a:srgbClr val="062742"/>
                    </a:solidFill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erschrift1"/>
      <w:numFmt w:val="decimal"/>
      <w:lvlText w:val="%1"/>
      <w:lvlJc w:val="left"/>
      <w:pPr>
        <w:tabs>
          <w:tab w:val="num" w:pos="851"/>
        </w:tabs>
        <w:ind w:left="851" w:hanging="567"/>
      </w:pPr>
    </w:lvl>
    <w:lvl w:ilvl="1">
      <w:start w:val="1"/>
      <w:pStyle w:val="Berschrift2"/>
      <w:numFmt w:val="decimal"/>
      <w:lvlText w:val="%1.%2"/>
      <w:lvlJc w:val="left"/>
      <w:pPr>
        <w:tabs>
          <w:tab w:val="num" w:pos="1701"/>
        </w:tabs>
        <w:ind w:left="1701" w:hanging="850"/>
      </w:pPr>
    </w:lvl>
    <w:lvl w:ilvl="2">
      <w:start w:val="1"/>
      <w:pStyle w:val="Berschrift3"/>
      <w:numFmt w:val="decimal"/>
      <w:lvlText w:val="%1.%2.%3"/>
      <w:lvlJc w:val="left"/>
      <w:pPr>
        <w:tabs>
          <w:tab w:val="num" w:pos="2781"/>
        </w:tabs>
        <w:ind w:left="2552" w:hanging="851"/>
      </w:pPr>
    </w:lvl>
    <w:lvl w:ilvl="3">
      <w:start w:val="1"/>
      <w:pStyle w:val="Berschrift4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pStyle w:val="Berschrift5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sz w:val="20"/>
        <w:i w:val="false"/>
        <w:b/>
      </w:r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4"/>
  <w:mirrorMargins/>
  <w:embedTrueTypeFonts/>
  <w:defaultTabStop w:val="708"/>
  <w:autoHyphenation w:val="true"/>
  <w:evenAndOddHeader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false"/>
      <w:bidi w:val="0"/>
      <w:jc w:val="left"/>
    </w:pPr>
    <w:rPr>
      <w:rFonts w:ascii="Arial" w:hAnsi="Arial" w:eastAsia="Times New Roman" w:cs="Arial"/>
      <w:color w:val="00000A"/>
      <w:kern w:val="0"/>
      <w:sz w:val="20"/>
      <w:szCs w:val="16"/>
      <w:lang w:val="de-DE" w:eastAsia="en-US" w:bidi="ar-SA"/>
    </w:rPr>
  </w:style>
  <w:style w:type="paragraph" w:styleId="Berschrift1">
    <w:name w:val="Heading 1"/>
    <w:basedOn w:val="Normal"/>
    <w:next w:val="Normal"/>
    <w:qFormat/>
    <w:pPr>
      <w:keepNext/>
      <w:numPr>
        <w:ilvl w:val="0"/>
        <w:numId w:val="1"/>
      </w:numPr>
      <w:outlineLvl w:val="0"/>
    </w:pPr>
    <w:rPr>
      <w:rFonts w:cs="Times New Roman"/>
      <w:b/>
      <w:kern w:val="2"/>
      <w:sz w:val="40"/>
      <w:szCs w:val="20"/>
      <w:lang w:eastAsia="de-DE"/>
    </w:rPr>
  </w:style>
  <w:style w:type="paragraph" w:styleId="Berschrift2">
    <w:name w:val="Heading 2"/>
    <w:basedOn w:val="Normal"/>
    <w:next w:val="Normal"/>
    <w:autoRedefine/>
    <w:qFormat/>
    <w:pPr>
      <w:keepNext/>
      <w:numPr>
        <w:ilvl w:val="1"/>
        <w:numId w:val="1"/>
      </w:numPr>
      <w:outlineLvl w:val="1"/>
    </w:pPr>
    <w:rPr>
      <w:rFonts w:cs="Times New Roman"/>
      <w:b/>
      <w:bCs/>
      <w:sz w:val="28"/>
      <w:szCs w:val="20"/>
      <w:lang w:eastAsia="de-DE"/>
    </w:rPr>
  </w:style>
  <w:style w:type="paragraph" w:styleId="Berschrift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2552" w:leader="none"/>
      </w:tabs>
      <w:outlineLvl w:val="2"/>
    </w:pPr>
    <w:rPr>
      <w:rFonts w:cs="Times New Roman"/>
      <w:b/>
      <w:sz w:val="24"/>
      <w:szCs w:val="20"/>
      <w:lang w:eastAsia="de-DE"/>
    </w:rPr>
  </w:style>
  <w:style w:type="paragraph" w:styleId="Berschrift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cs="Times New Roman"/>
      <w:b/>
      <w:szCs w:val="20"/>
      <w:lang w:eastAsia="de-DE"/>
    </w:rPr>
  </w:style>
  <w:style w:type="paragraph" w:styleId="Berschrift5">
    <w:name w:val="Heading 5"/>
    <w:basedOn w:val="Normal"/>
    <w:next w:val="Normal"/>
    <w:qFormat/>
    <w:pPr>
      <w:numPr>
        <w:ilvl w:val="4"/>
        <w:numId w:val="1"/>
      </w:numPr>
      <w:tabs>
        <w:tab w:val="left" w:pos="926" w:leader="none"/>
      </w:tabs>
      <w:ind w:left="926" w:hanging="360"/>
      <w:outlineLvl w:val="4"/>
    </w:pPr>
    <w:rPr>
      <w:rFonts w:cs="Times New Roman"/>
      <w:b/>
      <w:bCs/>
      <w:iCs/>
      <w:szCs w:val="26"/>
      <w:lang w:eastAsia="de-D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basedOn w:val="DefaultParagraphFont"/>
    <w:semiHidden/>
    <w:qFormat/>
    <w:rPr>
      <w:vertAlign w:val="superscript"/>
    </w:rPr>
  </w:style>
  <w:style w:type="character" w:styleId="SprechblasentextZchn" w:customStyle="1">
    <w:name w:val="Sprechblasentext Zchn"/>
    <w:basedOn w:val="DefaultParagraphFont"/>
    <w:link w:val="Sprechblasentext"/>
    <w:qFormat/>
    <w:rsid w:val="003f199c"/>
    <w:rPr>
      <w:rFonts w:ascii="Tahoma" w:hAnsi="Tahoma" w:cs="Tahoma"/>
      <w:sz w:val="16"/>
      <w:szCs w:val="16"/>
      <w:lang w:eastAsia="en-US"/>
    </w:rPr>
  </w:style>
  <w:style w:type="character" w:styleId="ListLabel1">
    <w:name w:val="ListLabel 1"/>
    <w:qFormat/>
    <w:rPr>
      <w:b/>
      <w:i w:val="false"/>
      <w:sz w:val="20"/>
    </w:rPr>
  </w:style>
  <w:style w:type="character" w:styleId="ListLabel2">
    <w:name w:val="ListLabel 2"/>
    <w:qFormat/>
    <w:rPr>
      <w:b/>
      <w:i w:val="false"/>
      <w:sz w:val="20"/>
    </w:rPr>
  </w:style>
  <w:style w:type="character" w:styleId="ListLabel3">
    <w:name w:val="ListLabel 3"/>
    <w:qFormat/>
    <w:rPr>
      <w:b/>
      <w:i w:val="false"/>
      <w:sz w:val="20"/>
    </w:rPr>
  </w:style>
  <w:style w:type="character" w:styleId="ListLabel4">
    <w:name w:val="ListLabel 4"/>
    <w:qFormat/>
    <w:rPr>
      <w:b/>
      <w:i w:val="false"/>
      <w:sz w:val="20"/>
    </w:rPr>
  </w:style>
  <w:style w:type="character" w:styleId="ListLabel5">
    <w:name w:val="ListLabel 5"/>
    <w:qFormat/>
    <w:rPr>
      <w:b/>
      <w:i w:val="false"/>
      <w:sz w:val="20"/>
    </w:rPr>
  </w:style>
  <w:style w:type="character" w:styleId="ListLabel6">
    <w:name w:val="ListLabel 6"/>
    <w:qFormat/>
    <w:rPr>
      <w:b/>
      <w:i w:val="false"/>
      <w:sz w:val="20"/>
    </w:rPr>
  </w:style>
  <w:style w:type="character" w:styleId="ListLabel7">
    <w:name w:val="ListLabel 7"/>
    <w:qFormat/>
    <w:rPr>
      <w:b/>
      <w:i w:val="false"/>
      <w:sz w:val="20"/>
    </w:rPr>
  </w:style>
  <w:style w:type="character" w:styleId="ListLabel8">
    <w:name w:val="ListLabel 8"/>
    <w:qFormat/>
    <w:rPr>
      <w:b/>
      <w:i w:val="false"/>
      <w:sz w:val="20"/>
    </w:rPr>
  </w:style>
  <w:style w:type="character" w:styleId="ListLabel9">
    <w:name w:val="ListLabel 9"/>
    <w:qFormat/>
    <w:rPr>
      <w:b/>
      <w:i w:val="false"/>
      <w:sz w:val="20"/>
    </w:rPr>
  </w:style>
  <w:style w:type="character" w:styleId="ListLabel10">
    <w:name w:val="ListLabel 10"/>
    <w:qFormat/>
    <w:rPr>
      <w:b/>
      <w:i w:val="false"/>
      <w:sz w:val="20"/>
    </w:rPr>
  </w:style>
  <w:style w:type="character" w:styleId="ListLabel11">
    <w:name w:val="ListLabel 11"/>
    <w:qFormat/>
    <w:rPr>
      <w:b/>
      <w:i w:val="false"/>
      <w:sz w:val="20"/>
    </w:rPr>
  </w:style>
  <w:style w:type="character" w:styleId="ListLabel12">
    <w:name w:val="ListLabel 12"/>
    <w:qFormat/>
    <w:rPr>
      <w:b/>
      <w:i w:val="false"/>
      <w:sz w:val="20"/>
    </w:rPr>
  </w:style>
  <w:style w:type="character" w:styleId="ListLabel13">
    <w:name w:val="ListLabel 13"/>
    <w:qFormat/>
    <w:rPr>
      <w:b/>
      <w:i w:val="false"/>
      <w:sz w:val="20"/>
    </w:rPr>
  </w:style>
  <w:style w:type="character" w:styleId="ListLabel14">
    <w:name w:val="ListLabel 14"/>
    <w:qFormat/>
    <w:rPr>
      <w:b/>
      <w:i w:val="false"/>
      <w:sz w:val="20"/>
    </w:rPr>
  </w:style>
  <w:style w:type="character" w:styleId="ListLabel15">
    <w:name w:val="ListLabel 15"/>
    <w:qFormat/>
    <w:rPr>
      <w:b/>
      <w:i w:val="false"/>
      <w:sz w:val="20"/>
    </w:rPr>
  </w:style>
  <w:style w:type="character" w:styleId="ListLabel16">
    <w:name w:val="ListLabel 16"/>
    <w:qFormat/>
    <w:rPr>
      <w:b/>
      <w:i w:val="false"/>
      <w:sz w:val="20"/>
    </w:rPr>
  </w:style>
  <w:style w:type="character" w:styleId="ListLabel17">
    <w:name w:val="ListLabel 17"/>
    <w:qFormat/>
    <w:rPr>
      <w:b/>
      <w:i w:val="false"/>
      <w:sz w:val="20"/>
    </w:rPr>
  </w:style>
  <w:style w:type="character" w:styleId="ListLabel18">
    <w:name w:val="ListLabel 18"/>
    <w:qFormat/>
    <w:rPr>
      <w:b/>
      <w:i w:val="false"/>
      <w:sz w:val="20"/>
    </w:rPr>
  </w:style>
  <w:style w:type="character" w:styleId="ListLabel19">
    <w:name w:val="ListLabel 19"/>
    <w:qFormat/>
    <w:rPr>
      <w:b/>
      <w:i w:val="false"/>
      <w:sz w:val="20"/>
    </w:rPr>
  </w:style>
  <w:style w:type="character" w:styleId="ListLabel20">
    <w:name w:val="ListLabel 20"/>
    <w:qFormat/>
    <w:rPr>
      <w:b/>
      <w:i w:val="false"/>
      <w:sz w:val="20"/>
    </w:rPr>
  </w:style>
  <w:style w:type="character" w:styleId="ListLabel21">
    <w:name w:val="ListLabel 21"/>
    <w:qFormat/>
    <w:rPr>
      <w:b/>
      <w:i w:val="false"/>
      <w:sz w:val="20"/>
    </w:rPr>
  </w:style>
  <w:style w:type="character" w:styleId="ListLabel22">
    <w:name w:val="ListLabel 22"/>
    <w:qFormat/>
    <w:rPr>
      <w:b/>
      <w:i w:val="false"/>
      <w:sz w:val="20"/>
    </w:rPr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krper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Textkrper"/>
    <w:pPr/>
    <w:rPr/>
  </w:style>
  <w:style w:type="paragraph" w:styleId="Beschriftung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/>
  </w:style>
  <w:style w:type="paragraph" w:styleId="Kopfzeile">
    <w:name w:val="Head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uzeile">
    <w:name w:val="Foot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ootnotetext">
    <w:name w:val="footnote text"/>
    <w:basedOn w:val="Normal"/>
    <w:autoRedefine/>
    <w:semiHidden/>
    <w:qFormat/>
    <w:pPr>
      <w:ind w:left="276" w:hanging="276"/>
      <w:jc w:val="both"/>
    </w:pPr>
    <w:rPr>
      <w:rFonts w:ascii="Times New Roman" w:hAnsi="Times New Roman" w:cs="Times New Roman"/>
      <w:color w:val="062742"/>
      <w:sz w:val="16"/>
      <w:szCs w:val="20"/>
      <w:lang w:val="en-GB" w:eastAsia="en-GB"/>
    </w:rPr>
  </w:style>
  <w:style w:type="paragraph" w:styleId="EinzugTextkrper">
    <w:name w:val="Body Text Indent"/>
    <w:basedOn w:val="Normal"/>
    <w:pPr>
      <w:ind w:left="709" w:hanging="0"/>
      <w:jc w:val="both"/>
    </w:pPr>
    <w:rPr>
      <w:rFonts w:cs="Times New Roman"/>
      <w:szCs w:val="20"/>
      <w:lang w:val="en-GB" w:eastAsia="en-GB"/>
    </w:rPr>
  </w:style>
  <w:style w:type="paragraph" w:styleId="BalloonText">
    <w:name w:val="Balloon Text"/>
    <w:basedOn w:val="Normal"/>
    <w:link w:val="SprechblasentextZchn"/>
    <w:qFormat/>
    <w:rsid w:val="003f199c"/>
    <w:pPr/>
    <w:rPr>
      <w:rFonts w:ascii="Tahoma" w:hAnsi="Tahoma" w:cs="Tahoma"/>
      <w:sz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42527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6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7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5.png"/>
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E525-16EC-49A4-BC5F-C1D6844E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CarcF Carcassonne</Template>
  <TotalTime>32</TotalTime>
  <Application>LibreOffice/5.4.1.2$MacOSX_X86_64 LibreOffice_project/ea7cb86e6eeb2bf3a5af73a8f7777ac570321527</Application>
  <Pages>2</Pages>
  <Words>143</Words>
  <Characters>827</Characters>
  <CharactersWithSpaces>939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2018-05-03T20:10:00Z</dcterms:created>
  <dc:creator>Zotto</dc:creator>
  <dc:description/>
  <dc:language>de-DE</dc:language>
  <cp:lastModifiedBy/>
  <cp:lastPrinted>2018-05-02T21:02:00Z</cp:lastPrinted>
  <dcterms:modified xsi:type="dcterms:W3CDTF">2018-05-17T18:59:17Z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