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9.png" ContentType="image/png"/>
  <Override PartName="/word/media/image8.png" ContentType="image/png"/>
  <Override PartName="/word/media/image7.png" ContentType="image/png"/>
  <Override PartName="/word/media/image5.png" ContentType="image/png"/>
  <Override PartName="/word/media/image4.png" ContentType="image/png"/>
  <Override PartName="/word/media/image2.png" ContentType="image/png"/>
  <Override PartName="/word/media/image3.png" ContentType="image/png"/>
  <Override PartName="/word/media/image6.png" ContentType="image/png"/>
  <Override PartName="/word/media/image1.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arbedor T" w:hAnsi="Barbedor T"/>
          <w:b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/>
        <w:drawing>
          <wp:inline distT="0" distB="0" distL="0" distR="0">
            <wp:extent cx="6478905" cy="9303385"/>
            <wp:effectExtent l="0" t="0" r="0" b="0"/>
            <wp:docPr id="1" name="Grafik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05" cy="930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tabs>
          <w:tab w:val="center" w:pos="5103" w:leader="none"/>
          <w:tab w:val="right" w:pos="10204" w:leader="none"/>
        </w:tabs>
        <w:ind w:left="132" w:hanging="0"/>
        <w:jc w:val="both"/>
        <w:rPr/>
      </w:pPr>
      <w:r>
        <w:drawing>
          <wp:anchor behindDoc="1" distT="0" distB="0" distL="114300" distR="114300" simplePos="0" locked="0" layoutInCell="1" allowOverlap="1" relativeHeight="5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480175" cy="252095"/>
            <wp:effectExtent l="0" t="0" r="0" b="0"/>
            <wp:wrapNone/>
            <wp:docPr id="2" name="Bild 12" descr="Hintergrund-Überschrif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2" descr="Hintergrund-Überschriften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arcassonne für macOS</w:t>
        <w:tab/>
        <w:tab/>
      </w:r>
    </w:p>
    <w:p>
      <w:pPr>
        <w:pStyle w:val="Normal"/>
        <w:rPr>
          <w:rFonts w:ascii="Barbedor T" w:hAnsi="Barbedor T"/>
          <w:color w:val="062742"/>
          <w:szCs w:val="20"/>
        </w:rPr>
      </w:pPr>
      <w:r>
        <w:rPr>
          <w:rFonts w:ascii="Barbedor T" w:hAnsi="Barbedor T"/>
          <w:color w:val="062742"/>
          <w:szCs w:val="20"/>
        </w:rPr>
      </w:r>
    </w:p>
    <w:tbl>
      <w:tblPr>
        <w:tblStyle w:val="Tabellenraster"/>
        <w:tblW w:w="10344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174"/>
        <w:gridCol w:w="5169"/>
      </w:tblGrid>
      <w:tr>
        <w:trPr/>
        <w:tc>
          <w:tcPr>
            <w:tcW w:w="51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center"/>
              <w:rPr>
                <w:rFonts w:ascii="Barbedor T" w:hAnsi="Barbedor T"/>
                <w:b/>
                <w:b/>
                <w:color w:val="C00000"/>
                <w:szCs w:val="20"/>
              </w:rPr>
            </w:pPr>
            <w:r>
              <w:rPr>
                <w:rFonts w:ascii="Barbedor T" w:hAnsi="Barbedor T"/>
                <w:b/>
                <w:color w:val="C00000"/>
                <w:szCs w:val="20"/>
              </w:rPr>
              <w:drawing>
                <wp:anchor behindDoc="0" distT="0" distB="0" distL="0" distR="0" simplePos="0" locked="0" layoutInCell="1" allowOverlap="1" relativeHeight="6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147060" cy="1974215"/>
                  <wp:effectExtent l="0" t="0" r="0" b="0"/>
                  <wp:wrapSquare wrapText="largest"/>
                  <wp:docPr id="3" name="Bild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d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197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before="120" w:after="0"/>
              <w:jc w:val="center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Offizielles Carcassonne mit Original-Illustrationen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kompatibel mit der iOS-Version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Exklusiver Solitär-Modus 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Spielen lokal als auch übers Internet</w:t>
            </w:r>
          </w:p>
          <w:p>
            <w:pPr>
              <w:pStyle w:val="Normal"/>
              <w:spacing w:before="120" w:after="120"/>
              <w:jc w:val="both"/>
              <w:rPr/>
            </w:pPr>
            <w:bookmarkStart w:id="0" w:name="__DdeLink__388_1338503935"/>
            <w:r>
              <w:rPr>
                <w:rFonts w:ascii="Barbedor T" w:hAnsi="Barbedor T"/>
              </w:rPr>
              <w:t xml:space="preserve">• </w:t>
            </w:r>
            <w:bookmarkEnd w:id="0"/>
            <w:r>
              <w:rPr>
                <w:rFonts w:ascii="Barbedor T" w:hAnsi="Barbedor T"/>
              </w:rPr>
              <w:t>Mehrere Spieler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Universal App für iPhone und iPad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Layout der Edition I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Grundspiel; wahlweise mit doppeltem Kartensatz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Fluss 1" und „Der Fluss 2“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"Wirtshäuser und Kathedralen"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"Händler und Baumeister"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"Burgfräulein und Drache"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"Das Phantom"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Abt"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"Deutsche Kathedralen"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"Winter" mit einem neuen Theme, neuen Landschaftskarten und dem Lebkuchenmann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Ein leichter Modus ohne Wiesen (ideal für Kinder)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9 unterschiedliche KI-Spieler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Game Center-Erfolge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 xml:space="preserve">Handbuch und Regelwerk zum Nachlesen 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Spiel mit Game Center-Freunden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tbl>
            <w:tblPr>
              <w:tblStyle w:val="Tabellenraster"/>
              <w:tblW w:w="4941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VBand="1" w:noHBand="0" w:lastColumn="0" w:firstColumn="1" w:lastRow="0" w:firstRow="1"/>
            </w:tblPr>
            <w:tblGrid>
              <w:gridCol w:w="1343"/>
              <w:gridCol w:w="3597"/>
            </w:tblGrid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Aktuelle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Version: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1.1.2</w:t>
                  </w:r>
                </w:p>
                <w:p>
                  <w:pPr>
                    <w:pStyle w:val="Normal"/>
                    <w:jc w:val="both"/>
                    <w:rPr>
                      <w:rFonts w:ascii="Barbedor T" w:hAnsi="Barbedor T"/>
                      <w:color w:val="062742"/>
                      <w:szCs w:val="20"/>
                    </w:rPr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2016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Herausgeber: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TheCodingMonkeys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bookmarkStart w:id="1" w:name="__DdeLink__252_883834292"/>
                  <w:bookmarkEnd w:id="1"/>
                  <w:r>
                    <w:rPr>
                      <w:rFonts w:ascii="Barbedor T" w:hAnsi="Barbedor T"/>
                      <w:color w:val="062742"/>
                      <w:szCs w:val="20"/>
                    </w:rPr>
                    <w:t>Verfügbar: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App Store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Preis: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21,99 €</w:t>
                  </w:r>
                </w:p>
              </w:tc>
            </w:tr>
          </w:tbl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tabs>
          <w:tab w:val="center" w:pos="5103" w:leader="none"/>
          <w:tab w:val="right" w:pos="10204" w:leader="none"/>
        </w:tabs>
        <w:ind w:left="132" w:hanging="0"/>
        <w:jc w:val="both"/>
        <w:rPr/>
      </w:pPr>
      <w:r>
        <w:drawing>
          <wp:anchor behindDoc="1" distT="0" distB="0" distL="114300" distR="114300" simplePos="0" locked="0" layoutInCell="1" allowOverlap="1" relativeHeight="7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480175" cy="252095"/>
            <wp:effectExtent l="0" t="0" r="0" b="0"/>
            <wp:wrapNone/>
            <wp:docPr id="4" name="Bild1" descr="Hintergrund-Überschrif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1" descr="Hintergrund-Überschrifte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</w:t>
      </w:r>
      <w:r>
        <w:rPr>
          <w:rFonts w:ascii="Barbedor T" w:hAnsi="Barbedor T"/>
          <w:b/>
          <w:color w:val="06274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CloisterZone</w:t>
        <w:tab/>
        <w:tab/>
      </w:r>
    </w:p>
    <w:p>
      <w:pPr>
        <w:pStyle w:val="Normal"/>
        <w:rPr>
          <w:rFonts w:ascii="Barbedor T" w:hAnsi="Barbedor T"/>
          <w:color w:val="062742"/>
          <w:szCs w:val="20"/>
        </w:rPr>
      </w:pPr>
      <w:r>
        <w:rPr>
          <w:rFonts w:ascii="Barbedor T" w:hAnsi="Barbedor T"/>
          <w:color w:val="062742"/>
          <w:szCs w:val="20"/>
        </w:rPr>
      </w:r>
    </w:p>
    <w:tbl>
      <w:tblPr>
        <w:tblStyle w:val="Tabellenraster"/>
        <w:tblW w:w="10344" w:type="dxa"/>
        <w:jc w:val="left"/>
        <w:tblInd w:w="0" w:type="dxa"/>
        <w:tblCellMar>
          <w:top w:w="0" w:type="dxa"/>
          <w:left w:w="12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174"/>
        <w:gridCol w:w="5169"/>
      </w:tblGrid>
      <w:tr>
        <w:trPr/>
        <w:tc>
          <w:tcPr>
            <w:tcW w:w="51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center"/>
              <w:rPr>
                <w:rFonts w:ascii="Barbedor T" w:hAnsi="Barbedor T"/>
                <w:b/>
                <w:b/>
                <w:color w:val="C00000"/>
                <w:szCs w:val="20"/>
              </w:rPr>
            </w:pPr>
            <w:r>
              <w:rPr>
                <w:rFonts w:ascii="Barbedor T" w:hAnsi="Barbedor T"/>
                <w:b/>
                <w:color w:val="C00000"/>
                <w:szCs w:val="20"/>
              </w:rPr>
              <w:drawing>
                <wp:anchor behindDoc="0" distT="0" distB="0" distL="0" distR="0" simplePos="0" locked="0" layoutInCell="1" allowOverlap="1" relativeHeight="1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135630" cy="1736090"/>
                  <wp:effectExtent l="0" t="0" r="0" b="0"/>
                  <wp:wrapSquare wrapText="largest"/>
                  <wp:docPr id="5" name="Bild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ild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630" cy="173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before="120" w:after="0"/>
              <w:jc w:val="center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Mehrere Spieler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Spielen lokal als auch übers Internet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Layout der Edition I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Grundspiel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Fluss 1" und „Der Fluss 2“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"Wirtshäuser und Kathedralen"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"Händler und Baumeister"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"Burgfräulein und Drache"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Turm"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"Abtei und Bürgermeister"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"Brücken, Burgen und Basare"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"König und Raubritter"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Katharer"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Belagerer"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Graf von Carcassonne"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Mini-Erweiterung aus Games Quarterly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Kultstätten"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Tunnel"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Kornkreise 1"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"Das Phantom"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"Das Fest"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"Der Abt"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Häuser"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Windrosen"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Klöster"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Fluggeräte"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Fähren"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Goldminen"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"Magier und Hexe"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"Die Kornkreise II"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"Russian Promos"</w:t>
            </w:r>
          </w:p>
          <w:p>
            <w:pPr>
              <w:pStyle w:val="Normal"/>
              <w:spacing w:before="120" w:after="120"/>
              <w:jc w:val="both"/>
              <w:rPr/>
            </w:pPr>
            <w:r>
              <w:rPr>
                <w:rFonts w:ascii="Barbedor T" w:hAnsi="Barbedor T"/>
              </w:rPr>
              <w:t xml:space="preserve">• </w:t>
            </w:r>
            <w:r>
              <w:rPr>
                <w:rFonts w:ascii="Barbedor T" w:hAnsi="Barbedor T"/>
              </w:rPr>
              <w:t>"Winter-Edition"</w:t>
            </w:r>
          </w:p>
          <w:p>
            <w:pPr>
              <w:pStyle w:val="Normal"/>
              <w:spacing w:before="120" w:after="120"/>
              <w:jc w:val="both"/>
              <w:rPr>
                <w:rFonts w:ascii="Barbedor T" w:hAnsi="Barbedor T"/>
              </w:rPr>
            </w:pPr>
            <w:r>
              <w:rPr>
                <w:rFonts w:ascii="Barbedor T" w:hAnsi="Barbedor T"/>
              </w:rPr>
            </w:r>
          </w:p>
          <w:tbl>
            <w:tblPr>
              <w:tblStyle w:val="Tabellenraster"/>
              <w:tblW w:w="4941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VBand="1" w:noHBand="0" w:lastColumn="0" w:firstColumn="1" w:lastRow="0" w:firstRow="1"/>
            </w:tblPr>
            <w:tblGrid>
              <w:gridCol w:w="1343"/>
              <w:gridCol w:w="3597"/>
            </w:tblGrid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Aktuelle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Version: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4.3.0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2018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Herausgeber: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Roman Kreicik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bookmarkStart w:id="2" w:name="__DdeLink__252_8838342921"/>
                  <w:bookmarkEnd w:id="2"/>
                  <w:r>
                    <w:rPr>
                      <w:rFonts w:ascii="Barbedor T" w:hAnsi="Barbedor T"/>
                      <w:color w:val="062742"/>
                      <w:szCs w:val="20"/>
                    </w:rPr>
                    <w:t>Verfügbar: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www.cloisterzone.com</w:t>
                  </w:r>
                </w:p>
              </w:tc>
            </w:tr>
            <w:tr>
              <w:trPr/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Preis:</w:t>
                  </w:r>
                </w:p>
              </w:tc>
              <w:tc>
                <w:tcPr>
                  <w:tcW w:w="35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rFonts w:ascii="Barbedor T" w:hAnsi="Barbedor T"/>
                      <w:color w:val="062742"/>
                      <w:szCs w:val="20"/>
                    </w:rPr>
                    <w:t>kostenlos</w:t>
                  </w:r>
                </w:p>
              </w:tc>
            </w:tr>
          </w:tbl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  <w:p>
            <w:pPr>
              <w:pStyle w:val="Normal"/>
              <w:spacing w:before="120" w:after="0"/>
              <w:jc w:val="both"/>
              <w:rPr>
                <w:rFonts w:ascii="Barbedor T" w:hAnsi="Barbedor T"/>
                <w:color w:val="062742"/>
                <w:szCs w:val="20"/>
              </w:rPr>
            </w:pPr>
            <w:r>
              <w:rPr>
                <w:rFonts w:ascii="Barbedor T" w:hAnsi="Barbedor T"/>
                <w:color w:val="062742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sectPr>
      <w:headerReference w:type="even" r:id="rId7"/>
      <w:headerReference w:type="default" r:id="rId8"/>
      <w:footerReference w:type="even" r:id="rId9"/>
      <w:footerReference w:type="default" r:id="rId10"/>
      <w:type w:val="nextPage"/>
      <w:pgSz w:w="11906" w:h="16838"/>
      <w:pgMar w:left="851" w:right="851" w:header="397" w:top="851" w:footer="0" w:bottom="1134" w:gutter="0"/>
      <w:pgNumType w:start="21"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Barbedor T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uzeile"/>
      <w:tabs>
        <w:tab w:val="center" w:pos="4536" w:leader="none"/>
        <w:tab w:val="center" w:pos="5096" w:leader="none"/>
        <w:tab w:val="right" w:pos="9072" w:leader="none"/>
        <w:tab w:val="right" w:pos="10500" w:leader="none"/>
      </w:tabs>
      <w:ind w:right="-296" w:hanging="282"/>
      <w:rPr/>
    </w:pPr>
    <w:r>
      <w:rPr/>
      <w:fldChar w:fldCharType="begin"/>
    </w:r>
    <w:r>
      <w:instrText> PAGE </w:instrText>
    </w:r>
    <w:r>
      <w:fldChar w:fldCharType="separate"/>
    </w:r>
    <w:r>
      <w:t>22</w:t>
    </w:r>
    <w:r>
      <w:fldChar w:fldCharType="end"/>
    </w:r>
    <w:r>
      <w:rPr>
        <w:rFonts w:ascii="Barbedor T" w:hAnsi="Barbedor T"/>
        <w:sz w:val="24"/>
        <w:szCs w:val="24"/>
      </w:rPr>
      <w:t xml:space="preserve"> </w:t>
    </w:r>
    <w:r>
      <w:rPr>
        <w:rFonts w:ascii="Barbedor T" w:hAnsi="Barbedor T"/>
        <w:sz w:val="24"/>
        <w:szCs w:val="24"/>
      </w:rPr>
      <w:t xml:space="preserve">von </w:t>
    </w:r>
    <w:r>
      <w:rPr>
        <w:rFonts w:ascii="Barbedor T" w:hAnsi="Barbedor T"/>
        <w:sz w:val="24"/>
        <w:szCs w:val="24"/>
      </w:rPr>
      <w:fldChar w:fldCharType="begin"/>
    </w:r>
    <w:r>
      <w:instrText> NUMPAGES </w:instrText>
    </w:r>
    <w:r>
      <w:fldChar w:fldCharType="separate"/>
    </w:r>
    <w:r>
      <w:t>3</w:t>
    </w:r>
    <w:r>
      <w:fldChar w:fldCharType="end"/>
    </w:r>
    <w:r>
      <w:rPr>
        <w:rFonts w:ascii="Barbedor T" w:hAnsi="Barbedor T"/>
        <w:color w:val="062742"/>
        <w:sz w:val="24"/>
        <w:szCs w:val="24"/>
      </w:rPr>
      <w:tab/>
    </w:r>
    <w:r>
      <w:rPr>
        <w:rFonts w:ascii="Barbedor T" w:hAnsi="Barbedor T"/>
        <w:sz w:val="24"/>
        <w:szCs w:val="24"/>
      </w:rPr>
      <w:t>Die Carcassonne-Familie</w:t>
      <w:tab/>
    </w:r>
    <w:r>
      <w:rPr>
        <w:rFonts w:ascii="Barbedor T" w:hAnsi="Barbedor T"/>
        <w:sz w:val="24"/>
        <w:szCs w:val="24"/>
      </w:rPr>
      <w:drawing>
        <wp:inline distT="0" distB="0" distL="0" distR="0">
          <wp:extent cx="1193800" cy="222250"/>
          <wp:effectExtent l="0" t="0" r="0" b="0"/>
          <wp:docPr id="8" name="Bild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222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Fuzeile"/>
      <w:rPr>
        <w:rFonts w:ascii="Barbedor T" w:hAnsi="Barbedor T"/>
        <w:szCs w:val="20"/>
      </w:rPr>
    </w:pPr>
    <w:r>
      <w:rPr>
        <w:rFonts w:ascii="Barbedor T" w:hAnsi="Barbedor T"/>
        <w:szCs w:val="20"/>
      </w:rPr>
    </w:r>
  </w:p>
  <w:p>
    <w:pPr>
      <w:pStyle w:val="Fuzeile"/>
      <w:rPr>
        <w:rFonts w:ascii="Barbedor T" w:hAnsi="Barbedor T"/>
        <w:szCs w:val="20"/>
      </w:rPr>
    </w:pPr>
    <w:r>
      <w:rPr>
        <w:rFonts w:ascii="Barbedor T" w:hAnsi="Barbedor T"/>
        <w:szCs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uzeile"/>
      <w:tabs>
        <w:tab w:val="center" w:pos="4536" w:leader="none"/>
        <w:tab w:val="center" w:pos="5096" w:leader="none"/>
        <w:tab w:val="right" w:pos="9072" w:leader="none"/>
        <w:tab w:val="right" w:pos="10528" w:leader="none"/>
      </w:tabs>
      <w:ind w:right="-324" w:hanging="280"/>
      <w:rPr/>
    </w:pPr>
    <w:r>
      <w:rPr/>
      <w:drawing>
        <wp:inline distT="0" distB="0" distL="0" distR="0">
          <wp:extent cx="1193800" cy="222250"/>
          <wp:effectExtent l="0" t="0" r="0" b="0"/>
          <wp:docPr id="9" name="Bild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ld 4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222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Barbedor T" w:hAnsi="Barbedor T"/>
        <w:color w:val="062742"/>
        <w:sz w:val="24"/>
        <w:szCs w:val="24"/>
      </w:rPr>
      <w:tab/>
    </w:r>
    <w:r>
      <w:rPr>
        <w:rFonts w:ascii="Barbedor T" w:hAnsi="Barbedor T"/>
        <w:sz w:val="24"/>
        <w:szCs w:val="24"/>
      </w:rPr>
      <w:t>Die Carcassonne-Familie</w:t>
      <w:tab/>
    </w:r>
    <w:r>
      <w:rPr>
        <w:rFonts w:ascii="Barbedor T" w:hAnsi="Barbedor T"/>
        <w:sz w:val="24"/>
        <w:szCs w:val="24"/>
      </w:rPr>
      <w:fldChar w:fldCharType="begin"/>
    </w:r>
    <w:r>
      <w:instrText> PAGE </w:instrText>
    </w:r>
    <w:r>
      <w:fldChar w:fldCharType="separate"/>
    </w:r>
    <w:r>
      <w:t>21</w:t>
    </w:r>
    <w:r>
      <w:fldChar w:fldCharType="end"/>
    </w:r>
    <w:r>
      <w:rPr>
        <w:rFonts w:ascii="Barbedor T" w:hAnsi="Barbedor T"/>
        <w:sz w:val="24"/>
        <w:szCs w:val="24"/>
      </w:rPr>
      <w:t xml:space="preserve"> von </w:t>
    </w:r>
    <w:r>
      <w:rPr>
        <w:rFonts w:ascii="Barbedor T" w:hAnsi="Barbedor T"/>
        <w:sz w:val="24"/>
        <w:szCs w:val="24"/>
      </w:rPr>
      <w:fldChar w:fldCharType="begin"/>
    </w:r>
    <w:r>
      <w:instrText> NUMPAGES </w:instrText>
    </w:r>
    <w:r>
      <w:fldChar w:fldCharType="separate"/>
    </w:r>
    <w:r>
      <w:t>3</w:t>
    </w:r>
    <w:r>
      <w:fldChar w:fldCharType="end"/>
    </w:r>
  </w:p>
  <w:p>
    <w:pPr>
      <w:pStyle w:val="Fuzeile"/>
      <w:ind w:right="-8" w:hanging="0"/>
      <w:rPr>
        <w:rFonts w:ascii="Barbedor T" w:hAnsi="Barbedor T"/>
      </w:rPr>
    </w:pPr>
    <w:r>
      <w:rPr>
        <w:rFonts w:ascii="Barbedor T" w:hAnsi="Barbedor T"/>
      </w:rPr>
    </w:r>
  </w:p>
  <w:p>
    <w:pPr>
      <w:pStyle w:val="Fuzeile"/>
      <w:ind w:right="-8" w:hanging="0"/>
      <w:rPr>
        <w:rFonts w:ascii="Barbedor T" w:hAnsi="Barbedor T"/>
      </w:rPr>
    </w:pPr>
    <w:r>
      <w:rPr>
        <w:rFonts w:ascii="Barbedor T" w:hAnsi="Barbedor T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ind w:right="-554" w:hanging="294"/>
      <w:rPr>
        <w:rFonts w:ascii="Barbedor T" w:hAnsi="Barbedor T"/>
      </w:rPr>
    </w:pPr>
    <w:r>
      <w:rPr>
        <w:rFonts w:ascii="Barbedor T" w:hAnsi="Barbedor T"/>
      </w:rPr>
      <w:drawing>
        <wp:anchor behindDoc="1" distT="18415" distB="14605" distL="133350" distR="131445" simplePos="0" locked="0" layoutInCell="1" allowOverlap="1" relativeHeight="4">
          <wp:simplePos x="0" y="0"/>
          <wp:positionH relativeFrom="column">
            <wp:posOffset>-180340</wp:posOffset>
          </wp:positionH>
          <wp:positionV relativeFrom="page">
            <wp:posOffset>360045</wp:posOffset>
          </wp:positionV>
          <wp:extent cx="6840220" cy="9719945"/>
          <wp:effectExtent l="0" t="0" r="0" b="0"/>
          <wp:wrapNone/>
          <wp:docPr id="6" name="Bild 3" descr="Hintergrund-Regelvorl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ild 3" descr="Hintergrund-Regelvorlag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9719945"/>
                  </a:xfrm>
                  <a:prstGeom prst="rect">
                    <a:avLst/>
                  </a:prstGeom>
                  <a:ln w="9525">
                    <a:solidFill>
                      <a:srgbClr val="062742"/>
                    </a:solidFill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ind w:right="-554" w:hanging="294"/>
      <w:rPr>
        <w:rFonts w:ascii="Barbedor T" w:hAnsi="Barbedor T"/>
      </w:rPr>
    </w:pPr>
    <w:r>
      <w:rPr>
        <w:rFonts w:ascii="Barbedor T" w:hAnsi="Barbedor T"/>
      </w:rPr>
      <w:drawing>
        <wp:anchor behindDoc="1" distT="18415" distB="14605" distL="133350" distR="131445" simplePos="0" locked="0" layoutInCell="1" allowOverlap="1" relativeHeight="3">
          <wp:simplePos x="0" y="0"/>
          <wp:positionH relativeFrom="column">
            <wp:posOffset>-180340</wp:posOffset>
          </wp:positionH>
          <wp:positionV relativeFrom="page">
            <wp:posOffset>360045</wp:posOffset>
          </wp:positionV>
          <wp:extent cx="6840220" cy="9719945"/>
          <wp:effectExtent l="0" t="0" r="0" b="0"/>
          <wp:wrapNone/>
          <wp:docPr id="7" name="Bild 2" descr="Hintergrund-Regelvorl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ild 2" descr="Hintergrund-Regelvorlag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9719945"/>
                  </a:xfrm>
                  <a:prstGeom prst="rect">
                    <a:avLst/>
                  </a:prstGeom>
                  <a:ln w="9525">
                    <a:solidFill>
                      <a:srgbClr val="062742"/>
                    </a:solidFill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erschrift1"/>
      <w:numFmt w:val="decimal"/>
      <w:lvlText w:val="%1"/>
      <w:lvlJc w:val="left"/>
      <w:pPr>
        <w:tabs>
          <w:tab w:val="num" w:pos="851"/>
        </w:tabs>
        <w:ind w:left="851" w:hanging="567"/>
      </w:pPr>
    </w:lvl>
    <w:lvl w:ilvl="1">
      <w:start w:val="1"/>
      <w:pStyle w:val="Berschrift2"/>
      <w:numFmt w:val="decimal"/>
      <w:lvlText w:val="%1.%2"/>
      <w:lvlJc w:val="left"/>
      <w:pPr>
        <w:tabs>
          <w:tab w:val="num" w:pos="1701"/>
        </w:tabs>
        <w:ind w:left="1701" w:hanging="850"/>
      </w:pPr>
    </w:lvl>
    <w:lvl w:ilvl="2">
      <w:start w:val="1"/>
      <w:pStyle w:val="Berschrift3"/>
      <w:numFmt w:val="decimal"/>
      <w:lvlText w:val="%1.%2.%3"/>
      <w:lvlJc w:val="left"/>
      <w:pPr>
        <w:tabs>
          <w:tab w:val="num" w:pos="2781"/>
        </w:tabs>
        <w:ind w:left="2552" w:hanging="851"/>
      </w:pPr>
    </w:lvl>
    <w:lvl w:ilvl="3">
      <w:start w:val="1"/>
      <w:pStyle w:val="Berschrift4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pStyle w:val="Berschrift5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sz w:val="20"/>
        <w:i w:val="false"/>
        <w:b/>
      </w:r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4"/>
  <w:mirrorMargins/>
  <w:embedTrueTypeFonts/>
  <w:defaultTabStop w:val="708"/>
  <w:autoHyphenation w:val="true"/>
  <w:evenAndOddHeader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false"/>
      <w:bidi w:val="0"/>
      <w:jc w:val="left"/>
    </w:pPr>
    <w:rPr>
      <w:rFonts w:ascii="Arial" w:hAnsi="Arial" w:eastAsia="Times New Roman" w:cs="Arial"/>
      <w:color w:val="00000A"/>
      <w:kern w:val="0"/>
      <w:sz w:val="20"/>
      <w:szCs w:val="16"/>
      <w:lang w:val="de-DE" w:eastAsia="en-US" w:bidi="ar-SA"/>
    </w:rPr>
  </w:style>
  <w:style w:type="paragraph" w:styleId="Berschrift1">
    <w:name w:val="Heading 1"/>
    <w:basedOn w:val="Normal"/>
    <w:next w:val="Normal"/>
    <w:qFormat/>
    <w:pPr>
      <w:keepNext/>
      <w:numPr>
        <w:ilvl w:val="0"/>
        <w:numId w:val="1"/>
      </w:numPr>
      <w:outlineLvl w:val="0"/>
    </w:pPr>
    <w:rPr>
      <w:rFonts w:cs="Times New Roman"/>
      <w:b/>
      <w:kern w:val="2"/>
      <w:sz w:val="40"/>
      <w:szCs w:val="20"/>
      <w:lang w:eastAsia="de-DE"/>
    </w:rPr>
  </w:style>
  <w:style w:type="paragraph" w:styleId="Berschrift2">
    <w:name w:val="Heading 2"/>
    <w:basedOn w:val="Normal"/>
    <w:next w:val="Normal"/>
    <w:autoRedefine/>
    <w:qFormat/>
    <w:pPr>
      <w:keepNext/>
      <w:numPr>
        <w:ilvl w:val="1"/>
        <w:numId w:val="1"/>
      </w:numPr>
      <w:outlineLvl w:val="1"/>
    </w:pPr>
    <w:rPr>
      <w:rFonts w:cs="Times New Roman"/>
      <w:b/>
      <w:bCs/>
      <w:sz w:val="28"/>
      <w:szCs w:val="20"/>
      <w:lang w:eastAsia="de-DE"/>
    </w:rPr>
  </w:style>
  <w:style w:type="paragraph" w:styleId="Berschrift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2552" w:leader="none"/>
      </w:tabs>
      <w:outlineLvl w:val="2"/>
    </w:pPr>
    <w:rPr>
      <w:rFonts w:cs="Times New Roman"/>
      <w:b/>
      <w:sz w:val="24"/>
      <w:szCs w:val="20"/>
      <w:lang w:eastAsia="de-DE"/>
    </w:rPr>
  </w:style>
  <w:style w:type="paragraph" w:styleId="Berschrift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cs="Times New Roman"/>
      <w:b/>
      <w:szCs w:val="20"/>
      <w:lang w:eastAsia="de-DE"/>
    </w:rPr>
  </w:style>
  <w:style w:type="paragraph" w:styleId="Berschrift5">
    <w:name w:val="Heading 5"/>
    <w:basedOn w:val="Normal"/>
    <w:next w:val="Normal"/>
    <w:qFormat/>
    <w:pPr>
      <w:numPr>
        <w:ilvl w:val="4"/>
        <w:numId w:val="1"/>
      </w:numPr>
      <w:tabs>
        <w:tab w:val="left" w:pos="926" w:leader="none"/>
      </w:tabs>
      <w:ind w:left="926" w:hanging="360"/>
      <w:outlineLvl w:val="4"/>
    </w:pPr>
    <w:rPr>
      <w:rFonts w:cs="Times New Roman"/>
      <w:b/>
      <w:bCs/>
      <w:iCs/>
      <w:szCs w:val="26"/>
      <w:lang w:eastAsia="de-D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reference">
    <w:name w:val="footnote reference"/>
    <w:basedOn w:val="DefaultParagraphFont"/>
    <w:semiHidden/>
    <w:qFormat/>
    <w:rPr>
      <w:vertAlign w:val="superscript"/>
    </w:rPr>
  </w:style>
  <w:style w:type="character" w:styleId="SprechblasentextZchn" w:customStyle="1">
    <w:name w:val="Sprechblasentext Zchn"/>
    <w:basedOn w:val="DefaultParagraphFont"/>
    <w:link w:val="Sprechblasentext"/>
    <w:qFormat/>
    <w:rsid w:val="003f199c"/>
    <w:rPr>
      <w:rFonts w:ascii="Tahoma" w:hAnsi="Tahoma" w:cs="Tahoma"/>
      <w:sz w:val="16"/>
      <w:szCs w:val="16"/>
      <w:lang w:eastAsia="en-US"/>
    </w:rPr>
  </w:style>
  <w:style w:type="character" w:styleId="ListLabel1">
    <w:name w:val="ListLabel 1"/>
    <w:qFormat/>
    <w:rPr>
      <w:b/>
      <w:i w:val="false"/>
      <w:sz w:val="20"/>
    </w:rPr>
  </w:style>
  <w:style w:type="character" w:styleId="ListLabel2">
    <w:name w:val="ListLabel 2"/>
    <w:qFormat/>
    <w:rPr>
      <w:b/>
      <w:i w:val="false"/>
      <w:sz w:val="20"/>
    </w:rPr>
  </w:style>
  <w:style w:type="character" w:styleId="ListLabel3">
    <w:name w:val="ListLabel 3"/>
    <w:qFormat/>
    <w:rPr>
      <w:b/>
      <w:i w:val="false"/>
      <w:sz w:val="20"/>
    </w:rPr>
  </w:style>
  <w:style w:type="character" w:styleId="ListLabel4">
    <w:name w:val="ListLabel 4"/>
    <w:qFormat/>
    <w:rPr>
      <w:b/>
      <w:i w:val="false"/>
      <w:sz w:val="20"/>
    </w:rPr>
  </w:style>
  <w:style w:type="character" w:styleId="ListLabel5">
    <w:name w:val="ListLabel 5"/>
    <w:qFormat/>
    <w:rPr>
      <w:b/>
      <w:i w:val="false"/>
      <w:sz w:val="20"/>
    </w:rPr>
  </w:style>
  <w:style w:type="character" w:styleId="ListLabel6">
    <w:name w:val="ListLabel 6"/>
    <w:qFormat/>
    <w:rPr>
      <w:b/>
      <w:i w:val="false"/>
      <w:sz w:val="20"/>
    </w:rPr>
  </w:style>
  <w:style w:type="character" w:styleId="ListLabel7">
    <w:name w:val="ListLabel 7"/>
    <w:qFormat/>
    <w:rPr>
      <w:b/>
      <w:i w:val="false"/>
      <w:sz w:val="20"/>
    </w:rPr>
  </w:style>
  <w:style w:type="character" w:styleId="ListLabel8">
    <w:name w:val="ListLabel 8"/>
    <w:qFormat/>
    <w:rPr>
      <w:b/>
      <w:i w:val="false"/>
      <w:sz w:val="20"/>
    </w:rPr>
  </w:style>
  <w:style w:type="character" w:styleId="ListLabel9">
    <w:name w:val="ListLabel 9"/>
    <w:qFormat/>
    <w:rPr>
      <w:b/>
      <w:i w:val="false"/>
      <w:sz w:val="20"/>
    </w:rPr>
  </w:style>
  <w:style w:type="character" w:styleId="ListLabel10">
    <w:name w:val="ListLabel 10"/>
    <w:qFormat/>
    <w:rPr>
      <w:b/>
      <w:i w:val="false"/>
      <w:sz w:val="20"/>
    </w:rPr>
  </w:style>
  <w:style w:type="character" w:styleId="ListLabel11">
    <w:name w:val="ListLabel 11"/>
    <w:qFormat/>
    <w:rPr>
      <w:b/>
      <w:i w:val="false"/>
      <w:sz w:val="20"/>
    </w:rPr>
  </w:style>
  <w:style w:type="character" w:styleId="ListLabel12">
    <w:name w:val="ListLabel 12"/>
    <w:qFormat/>
    <w:rPr>
      <w:b/>
      <w:i w:val="false"/>
      <w:sz w:val="20"/>
    </w:rPr>
  </w:style>
  <w:style w:type="character" w:styleId="ListLabel13">
    <w:name w:val="ListLabel 13"/>
    <w:qFormat/>
    <w:rPr>
      <w:b/>
      <w:i w:val="false"/>
      <w:sz w:val="20"/>
    </w:rPr>
  </w:style>
  <w:style w:type="character" w:styleId="ListLabel14">
    <w:name w:val="ListLabel 14"/>
    <w:qFormat/>
    <w:rPr>
      <w:b/>
      <w:i w:val="false"/>
      <w:sz w:val="20"/>
    </w:rPr>
  </w:style>
  <w:style w:type="character" w:styleId="ListLabel15">
    <w:name w:val="ListLabel 15"/>
    <w:qFormat/>
    <w:rPr>
      <w:b/>
      <w:i w:val="false"/>
      <w:sz w:val="20"/>
    </w:rPr>
  </w:style>
  <w:style w:type="character" w:styleId="ListLabel16">
    <w:name w:val="ListLabel 16"/>
    <w:qFormat/>
    <w:rPr>
      <w:b/>
      <w:i w:val="false"/>
      <w:sz w:val="20"/>
    </w:rPr>
  </w:style>
  <w:style w:type="character" w:styleId="ListLabel17">
    <w:name w:val="ListLabel 17"/>
    <w:qFormat/>
    <w:rPr>
      <w:b/>
      <w:i w:val="false"/>
      <w:sz w:val="20"/>
    </w:rPr>
  </w:style>
  <w:style w:type="character" w:styleId="ListLabel18">
    <w:name w:val="ListLabel 18"/>
    <w:qFormat/>
    <w:rPr>
      <w:b/>
      <w:i w:val="false"/>
      <w:sz w:val="20"/>
    </w:rPr>
  </w:style>
  <w:style w:type="character" w:styleId="ListLabel19">
    <w:name w:val="ListLabel 19"/>
    <w:qFormat/>
    <w:rPr>
      <w:b/>
      <w:i w:val="false"/>
      <w:sz w:val="20"/>
    </w:rPr>
  </w:style>
  <w:style w:type="character" w:styleId="ListLabel20">
    <w:name w:val="ListLabel 20"/>
    <w:qFormat/>
    <w:rPr>
      <w:b/>
      <w:i w:val="false"/>
      <w:sz w:val="20"/>
    </w:rPr>
  </w:style>
  <w:style w:type="character" w:styleId="ListLabel21">
    <w:name w:val="ListLabel 21"/>
    <w:qFormat/>
    <w:rPr>
      <w:b/>
      <w:i w:val="false"/>
      <w:sz w:val="20"/>
    </w:rPr>
  </w:style>
  <w:style w:type="character" w:styleId="ListLabel22">
    <w:name w:val="ListLabel 22"/>
    <w:qFormat/>
    <w:rPr>
      <w:b/>
      <w:i w:val="false"/>
      <w:sz w:val="20"/>
    </w:rPr>
  </w:style>
  <w:style w:type="character" w:styleId="ListLabel23">
    <w:name w:val="ListLabel 23"/>
    <w:qFormat/>
    <w:rPr>
      <w:b/>
      <w:i w:val="false"/>
      <w:sz w:val="20"/>
    </w:rPr>
  </w:style>
  <w:style w:type="character" w:styleId="ListLabel24">
    <w:name w:val="ListLabel 24"/>
    <w:qFormat/>
    <w:rPr>
      <w:b/>
      <w:i w:val="false"/>
      <w:sz w:val="20"/>
    </w:rPr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krper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Textkrper"/>
    <w:pPr/>
    <w:rPr/>
  </w:style>
  <w:style w:type="paragraph" w:styleId="Beschriftung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/>
  </w:style>
  <w:style w:type="paragraph" w:styleId="Kopfzeile">
    <w:name w:val="Head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uzeile">
    <w:name w:val="Foot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ootnotetext">
    <w:name w:val="footnote text"/>
    <w:basedOn w:val="Normal"/>
    <w:autoRedefine/>
    <w:semiHidden/>
    <w:qFormat/>
    <w:pPr>
      <w:ind w:left="276" w:hanging="276"/>
      <w:jc w:val="both"/>
    </w:pPr>
    <w:rPr>
      <w:rFonts w:ascii="Times New Roman" w:hAnsi="Times New Roman" w:cs="Times New Roman"/>
      <w:color w:val="062742"/>
      <w:sz w:val="16"/>
      <w:szCs w:val="20"/>
      <w:lang w:val="en-GB" w:eastAsia="en-GB"/>
    </w:rPr>
  </w:style>
  <w:style w:type="paragraph" w:styleId="EinzugTextkrper">
    <w:name w:val="Body Text Indent"/>
    <w:basedOn w:val="Normal"/>
    <w:pPr>
      <w:ind w:left="709" w:hanging="0"/>
      <w:jc w:val="both"/>
    </w:pPr>
    <w:rPr>
      <w:rFonts w:cs="Times New Roman"/>
      <w:szCs w:val="20"/>
      <w:lang w:val="en-GB" w:eastAsia="en-GB"/>
    </w:rPr>
  </w:style>
  <w:style w:type="paragraph" w:styleId="BalloonText">
    <w:name w:val="Balloon Text"/>
    <w:basedOn w:val="Normal"/>
    <w:link w:val="SprechblasentextZchn"/>
    <w:qFormat/>
    <w:rsid w:val="003f199c"/>
    <w:pPr/>
    <w:rPr>
      <w:rFonts w:ascii="Tahoma" w:hAnsi="Tahoma" w:cs="Tahoma"/>
      <w:sz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42527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8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9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7.png"/>
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E525-16EC-49A4-BC5F-C1D6844E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CarcF Carcassonne</Template>
  <TotalTime>48</TotalTime>
  <Application>LibreOffice/5.4.1.2$MacOSX_X86_64 LibreOffice_project/ea7cb86e6eeb2bf3a5af73a8f7777ac570321527</Application>
  <Pages>3</Pages>
  <Words>264</Words>
  <Characters>1443</Characters>
  <CharactersWithSpaces>1642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2018-05-03T20:10:00Z</dcterms:created>
  <dc:creator>Zotto</dc:creator>
  <dc:description/>
  <dc:language>de-DE</dc:language>
  <cp:lastModifiedBy/>
  <cp:lastPrinted>2018-05-02T21:02:00Z</cp:lastPrinted>
  <dcterms:modified xsi:type="dcterms:W3CDTF">2018-05-17T19:26:22Z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